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D415CD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D415CD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D415C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D415CD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D415CD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D415CD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D415CD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D415CD" w:rsidRDefault="00D415CD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15CD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B30B55" w:rsidRPr="00D415CD">
              <w:rPr>
                <w:rFonts w:ascii="Times New Roman" w:hAnsi="Times New Roman"/>
                <w:b/>
                <w:sz w:val="28"/>
                <w:szCs w:val="28"/>
              </w:rPr>
              <w:t xml:space="preserve"> ок</w:t>
            </w:r>
            <w:r w:rsidR="00213485" w:rsidRPr="00D415CD">
              <w:rPr>
                <w:rFonts w:ascii="Times New Roman" w:hAnsi="Times New Roman"/>
                <w:b/>
                <w:sz w:val="28"/>
                <w:szCs w:val="28"/>
              </w:rPr>
              <w:t>тября</w:t>
            </w:r>
          </w:p>
          <w:p w:rsidR="00B77838" w:rsidRPr="00D415CD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15CD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D415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D415CD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15C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 w:rsidRPr="00D415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415CD" w:rsidRPr="00D415C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4B6430" w:rsidRPr="00D415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415C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30B55" w:rsidRPr="00D415C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415CD" w:rsidRPr="00D415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415C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D415CD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D415CD">
              <w:rPr>
                <w:rFonts w:ascii="Times New Roman" w:hAnsi="Times New Roman"/>
                <w:b/>
              </w:rPr>
              <w:t xml:space="preserve">с </w:t>
            </w:r>
            <w:r w:rsidR="00EC22F6" w:rsidRPr="00D415CD">
              <w:rPr>
                <w:rFonts w:ascii="Times New Roman" w:hAnsi="Times New Roman"/>
                <w:b/>
              </w:rPr>
              <w:t>15июня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D415CD">
              <w:rPr>
                <w:rFonts w:ascii="Times New Roman" w:hAnsi="Times New Roman"/>
                <w:b/>
              </w:rPr>
              <w:t>2023 года</w:t>
            </w:r>
          </w:p>
          <w:p w:rsidR="00B77838" w:rsidRPr="00D415CD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D415CD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D415CD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415CD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D415CD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415CD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D415CD">
        <w:rPr>
          <w:rFonts w:ascii="Times New Roman" w:hAnsi="Times New Roman" w:cs="Times New Roman"/>
          <w:sz w:val="18"/>
          <w:szCs w:val="18"/>
        </w:rPr>
        <w:t>Кинзельский</w:t>
      </w:r>
      <w:r w:rsidRPr="00D415CD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D415CD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D415CD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D415C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D415CD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D415CD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6430" w:rsidRPr="00D415CD" w:rsidTr="004B6430">
        <w:tc>
          <w:tcPr>
            <w:tcW w:w="5035" w:type="dxa"/>
          </w:tcPr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D415CD">
              <w:rPr>
                <w:b/>
                <w:color w:val="000000"/>
                <w:shd w:val="clear" w:color="auto" w:fill="FFFFFF"/>
              </w:rPr>
              <w:t>Уважаемые жители сельсовета!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</w:rPr>
            </w:pPr>
            <w:r w:rsidRPr="00D415CD">
              <w:rPr>
                <w:b/>
                <w:color w:val="000000"/>
                <w:shd w:val="clear" w:color="auto" w:fill="FFFFFF"/>
              </w:rPr>
              <w:t xml:space="preserve">Напоминаем о </w:t>
            </w:r>
            <w:r w:rsidRPr="00D415CD">
              <w:rPr>
                <w:b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D415CD">
              <w:rPr>
                <w:color w:val="000000"/>
              </w:rPr>
              <w:t xml:space="preserve">Единая дежурная диспетчерская служба (ЕДДС) (круглосуточно) 3-04-02; (89328460135), </w:t>
            </w:r>
            <w:r w:rsidRPr="00D415CD">
              <w:rPr>
                <w:b/>
                <w:color w:val="000000"/>
              </w:rPr>
              <w:t>(112)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D415CD">
              <w:rPr>
                <w:color w:val="000000"/>
              </w:rPr>
              <w:t>ООО «Плешановское ЖКХ» - дежурный - тел. 89619245763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D415CD">
              <w:rPr>
                <w:color w:val="000000"/>
              </w:rPr>
              <w:t xml:space="preserve">Служба спасения (пожарная часть) — дежурный тел. 8(35345) 3-02-33, </w:t>
            </w:r>
            <w:r w:rsidRPr="00D415CD">
              <w:rPr>
                <w:b/>
                <w:color w:val="000000"/>
              </w:rPr>
              <w:t xml:space="preserve">01 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  <w:p w:rsidR="00533A8B" w:rsidRPr="00D415CD" w:rsidRDefault="00533A8B" w:rsidP="00533A8B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  <w:r w:rsidRPr="00D415CD">
              <w:rPr>
                <w:color w:val="000000"/>
              </w:rPr>
              <w:t xml:space="preserve">Отделение МВД России по Красногвардейскому району – дежурный - тел.8(35345)3-10-89; </w:t>
            </w:r>
            <w:r w:rsidRPr="00D415CD">
              <w:rPr>
                <w:b/>
                <w:color w:val="000000"/>
              </w:rPr>
              <w:t>02</w:t>
            </w:r>
          </w:p>
          <w:p w:rsidR="00533A8B" w:rsidRPr="00D415CD" w:rsidRDefault="00533A8B" w:rsidP="00533A8B">
            <w:pPr>
              <w:spacing w:after="0" w:line="240" w:lineRule="auto"/>
              <w:ind w:right="-144"/>
              <w:jc w:val="both"/>
              <w:rPr>
                <w:b/>
                <w:color w:val="000000"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D415CD">
              <w:rPr>
                <w:color w:val="000000"/>
              </w:rPr>
              <w:t>РЭС — дежурный - тел. 8(35345) 3-15-60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  <w:r w:rsidRPr="00D415CD">
              <w:rPr>
                <w:color w:val="000000"/>
              </w:rPr>
              <w:t xml:space="preserve">Трест «Сорочинскмежрайгаз» - дежурный -  тел.8(35345)3-22-40; </w:t>
            </w:r>
            <w:r w:rsidRPr="00D415CD">
              <w:rPr>
                <w:b/>
                <w:color w:val="000000"/>
              </w:rPr>
              <w:t>04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</w:rPr>
            </w:pPr>
            <w:r w:rsidRPr="00D415CD">
              <w:rPr>
                <w:color w:val="000000"/>
              </w:rPr>
              <w:t xml:space="preserve">ГБУЗ «Красногвардейская РБ» - дежурный врач - </w:t>
            </w:r>
            <w:r w:rsidRPr="00D415CD">
              <w:t xml:space="preserve"> тел. 8(35345) 3-10-64; </w:t>
            </w:r>
            <w:r w:rsidRPr="00D415CD">
              <w:rPr>
                <w:b/>
              </w:rPr>
              <w:t>03</w:t>
            </w:r>
          </w:p>
          <w:p w:rsidR="00533A8B" w:rsidRPr="00D415CD" w:rsidRDefault="00533A8B" w:rsidP="00533A8B">
            <w:pPr>
              <w:spacing w:after="0" w:line="240" w:lineRule="auto"/>
              <w:jc w:val="both"/>
              <w:rPr>
                <w:b/>
              </w:rPr>
            </w:pPr>
          </w:p>
          <w:p w:rsidR="00533A8B" w:rsidRPr="00D415CD" w:rsidRDefault="00533A8B" w:rsidP="00533A8B">
            <w:pPr>
              <w:spacing w:after="0" w:line="240" w:lineRule="auto"/>
              <w:jc w:val="both"/>
            </w:pPr>
            <w:r w:rsidRPr="00D415CD">
              <w:t>ДУ ГУП «Оренбургремдорстрой» - дежурный – сот. 89328544401,  тел.8(35345) 3-11-36</w:t>
            </w:r>
          </w:p>
          <w:p w:rsidR="004B6430" w:rsidRPr="00D415CD" w:rsidRDefault="004B6430" w:rsidP="004B6430">
            <w:pPr>
              <w:spacing w:after="0" w:line="240" w:lineRule="auto"/>
            </w:pPr>
          </w:p>
        </w:tc>
      </w:tr>
    </w:tbl>
    <w:p w:rsidR="00DA55FB" w:rsidRPr="00D415CD" w:rsidRDefault="00DA55FB" w:rsidP="00D415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5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050" cy="5102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9" cy="52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r w:rsidRPr="00D415CD">
        <w:rPr>
          <w:rFonts w:ascii="Times New Roman" w:hAnsi="Times New Roman" w:cs="Times New Roman"/>
          <w:b/>
          <w:sz w:val="16"/>
          <w:szCs w:val="16"/>
        </w:rPr>
        <w:t xml:space="preserve">АДМИНИСТРАЦИЯ МУНИЦИПАЛЬНОГО ОБРАЗОВАНИЯ 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15CD">
        <w:rPr>
          <w:rFonts w:ascii="Times New Roman" w:hAnsi="Times New Roman" w:cs="Times New Roman"/>
          <w:b/>
          <w:sz w:val="16"/>
          <w:szCs w:val="16"/>
        </w:rPr>
        <w:t>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415CD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20.10.2025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</w:t>
      </w:r>
      <w:r w:rsidRPr="00D415CD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</w:t>
      </w:r>
      <w:r w:rsidRPr="00D415CD">
        <w:rPr>
          <w:rFonts w:ascii="Times New Roman" w:hAnsi="Times New Roman" w:cs="Times New Roman"/>
          <w:sz w:val="20"/>
          <w:szCs w:val="20"/>
        </w:rPr>
        <w:t>№ 78-п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с. Кинзелька 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О создании на территории </w:t>
      </w:r>
      <w:r w:rsidRPr="00D415CD">
        <w:rPr>
          <w:rFonts w:ascii="Times New Roman" w:hAnsi="Times New Roman" w:cs="Times New Roman"/>
          <w:color w:val="000000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  <w:r w:rsidRPr="00D415CD">
        <w:rPr>
          <w:rFonts w:ascii="Times New Roman" w:hAnsi="Times New Roman" w:cs="Times New Roman"/>
          <w:sz w:val="20"/>
          <w:szCs w:val="20"/>
        </w:rPr>
        <w:t xml:space="preserve"> специального органа по увековечению памяти защитников Отечества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15CD" w:rsidRPr="00D415CD" w:rsidRDefault="00D415CD" w:rsidP="00D415C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415CD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Законом Российской Федерации от 14 января 1993 года № 4292-I «Об увековечении памяти погибших при защите Отечества», Законом Оренбургской области от 21 февраля 1996 года «Об организации местного </w:t>
      </w:r>
      <w:r w:rsidRPr="00D415C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самоуправления в Оренбургской области»,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Правительством Российской Федерации, руководствуясь Уставом муниципального образования Кинзельский сельсовет Красногвардейского района Оренбургской области, в целях увековечения памяти защитников Отечества: 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1. Создать на территории муниципального образования </w:t>
      </w:r>
      <w:r w:rsidRPr="00D415CD">
        <w:rPr>
          <w:rFonts w:ascii="Times New Roman" w:hAnsi="Times New Roman" w:cs="Times New Roman"/>
          <w:color w:val="000000"/>
          <w:sz w:val="20"/>
          <w:szCs w:val="20"/>
        </w:rPr>
        <w:t>Кинзельский</w:t>
      </w:r>
      <w:r w:rsidRPr="00D415CD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 специальный орган по увековечению памяти защитников Отечества (специальный орган) и утвердить в составе согласно приложению № 1.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2. Утвердить положение о специальном органе по увековечению памяти защитников Отечества согласно приложению № 2.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 xml:space="preserve">3. Установить, что настоящее постановление вступает в силу со дня со дня его подписания и подлежит размещению на официальном сайте </w:t>
      </w:r>
      <w:r w:rsidRPr="00D415CD">
        <w:rPr>
          <w:color w:val="000000"/>
        </w:rPr>
        <w:t>муниципального образования Кинзельский сельсовет Красногвардейского района Оренбургской области</w:t>
      </w:r>
      <w:r w:rsidRPr="00D415CD">
        <w:t xml:space="preserve"> в информационной телекоммуникационной сети «Интернет».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 xml:space="preserve">4. Контроль за исполнением настоящего постановления оставляю за собой.  </w:t>
      </w:r>
    </w:p>
    <w:p w:rsidR="00D415CD" w:rsidRPr="00D415CD" w:rsidRDefault="00D415CD" w:rsidP="00D415CD">
      <w:pPr>
        <w:pStyle w:val="ad"/>
        <w:jc w:val="both"/>
      </w:pPr>
    </w:p>
    <w:p w:rsidR="00D415CD" w:rsidRPr="00D415CD" w:rsidRDefault="00D415CD" w:rsidP="00D415CD">
      <w:pPr>
        <w:pStyle w:val="ad"/>
        <w:jc w:val="both"/>
      </w:pPr>
      <w:r w:rsidRPr="00D415CD">
        <w:t>Врио главы сельсовета</w:t>
      </w:r>
      <w:r w:rsidRPr="00D415CD">
        <w:tab/>
        <w:t xml:space="preserve">   С.А. Морозова</w:t>
      </w:r>
    </w:p>
    <w:p w:rsidR="00D415CD" w:rsidRPr="00D415CD" w:rsidRDefault="00D415CD" w:rsidP="00D415CD">
      <w:pPr>
        <w:pStyle w:val="ad"/>
        <w:jc w:val="both"/>
      </w:pPr>
    </w:p>
    <w:p w:rsidR="00D415CD" w:rsidRPr="00D415CD" w:rsidRDefault="00D415CD" w:rsidP="00D415CD">
      <w:pPr>
        <w:pStyle w:val="ad"/>
        <w:jc w:val="both"/>
      </w:pPr>
      <w:r w:rsidRPr="00D415CD">
        <w:t xml:space="preserve"> </w:t>
      </w:r>
    </w:p>
    <w:p w:rsidR="00D415CD" w:rsidRPr="00D415CD" w:rsidRDefault="00D415CD" w:rsidP="00D415CD">
      <w:pPr>
        <w:pStyle w:val="ad"/>
        <w:jc w:val="right"/>
      </w:pPr>
      <w:r w:rsidRPr="00D415CD">
        <w:t xml:space="preserve">Приложение № 1                                                                                                   </w:t>
      </w:r>
      <w:r w:rsidRPr="00D415CD">
        <w:tab/>
        <w:t xml:space="preserve">к постановлению                                                                                                 </w:t>
      </w:r>
      <w:r w:rsidRPr="00D415CD">
        <w:tab/>
        <w:t xml:space="preserve">от  20.10.2025 № 78-п </w:t>
      </w:r>
    </w:p>
    <w:p w:rsidR="00D415CD" w:rsidRPr="00D415CD" w:rsidRDefault="00D415CD" w:rsidP="00D415CD">
      <w:pPr>
        <w:pStyle w:val="ad"/>
        <w:jc w:val="both"/>
      </w:pPr>
    </w:p>
    <w:p w:rsidR="00D415CD" w:rsidRPr="00D415CD" w:rsidRDefault="00D415CD" w:rsidP="00D415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ad"/>
        <w:jc w:val="center"/>
        <w:rPr>
          <w:b/>
        </w:rPr>
      </w:pPr>
      <w:r w:rsidRPr="00D415CD">
        <w:rPr>
          <w:b/>
        </w:rPr>
        <w:t>С О С Т А В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15CD">
        <w:rPr>
          <w:rFonts w:ascii="Times New Roman" w:hAnsi="Times New Roman" w:cs="Times New Roman"/>
          <w:b/>
          <w:sz w:val="20"/>
          <w:szCs w:val="20"/>
        </w:rPr>
        <w:t xml:space="preserve">специального органа по увековечению памяти защитников Отечества на территории </w:t>
      </w:r>
      <w:r w:rsidRPr="00D415CD">
        <w:rPr>
          <w:rFonts w:ascii="Times New Roman" w:hAnsi="Times New Roman" w:cs="Times New Roman"/>
          <w:b/>
          <w:color w:val="000000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17"/>
        <w:gridCol w:w="2376"/>
      </w:tblGrid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Морозова Светлана Александровна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Председатель специального органа,</w:t>
            </w:r>
          </w:p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Врио главы сельсовета, специалист 1 категории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Коротовских Александр Петрович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Председатель Совета ветеранов Кинзельского </w:t>
            </w: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lastRenderedPageBreak/>
              <w:t>сельсовета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lastRenderedPageBreak/>
              <w:t>Юрко Татьяна Николаевна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Председатель Совета депутатов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Немцов Юрий Николаевич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Депутат Совета депутатов, староста с. Кинзелька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Пинаева Елена Викторовна 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Староста с. Вознесенка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Каракулов Батимир Самигуллович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Депутат Совета депутатов, староста п. Степной</w:t>
            </w:r>
          </w:p>
        </w:tc>
      </w:tr>
      <w:tr w:rsidR="00D415CD" w:rsidRPr="00D415CD" w:rsidTr="00D415CD">
        <w:tc>
          <w:tcPr>
            <w:tcW w:w="212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Максимова Светлана Петровна</w:t>
            </w:r>
          </w:p>
        </w:tc>
        <w:tc>
          <w:tcPr>
            <w:tcW w:w="317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76" w:type="dxa"/>
          </w:tcPr>
          <w:p w:rsidR="00D415CD" w:rsidRPr="00D415CD" w:rsidRDefault="00D415CD" w:rsidP="00D415CD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D415CD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zh-CN"/>
              </w:rPr>
              <w:t xml:space="preserve">Председатель ОООО «Совет женщин» </w:t>
            </w:r>
          </w:p>
        </w:tc>
      </w:tr>
    </w:tbl>
    <w:p w:rsidR="00D415CD" w:rsidRPr="00D415CD" w:rsidRDefault="00D415CD" w:rsidP="00D415CD">
      <w:pPr>
        <w:spacing w:after="0" w:line="240" w:lineRule="auto"/>
        <w:ind w:left="2124" w:hanging="2124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ad"/>
        <w:jc w:val="right"/>
      </w:pPr>
      <w:r w:rsidRPr="00D415CD">
        <w:t xml:space="preserve">Приложение № 2                                                                                                   </w:t>
      </w:r>
      <w:r w:rsidRPr="00D415CD">
        <w:tab/>
        <w:t xml:space="preserve">к постановлению                                                                                                   </w:t>
      </w:r>
      <w:r w:rsidRPr="00D415CD">
        <w:tab/>
        <w:t xml:space="preserve">от  20.10.2025 № 78-п </w:t>
      </w:r>
    </w:p>
    <w:p w:rsidR="00D415CD" w:rsidRPr="00D415CD" w:rsidRDefault="00D415CD" w:rsidP="00D415CD">
      <w:pPr>
        <w:spacing w:after="0" w:line="240" w:lineRule="auto"/>
        <w:ind w:firstLine="698"/>
        <w:jc w:val="right"/>
        <w:rPr>
          <w:rStyle w:val="aff5"/>
          <w:rFonts w:ascii="Times New Roman" w:hAnsi="Times New Roman" w:cs="Times New Roman"/>
        </w:rPr>
      </w:pPr>
    </w:p>
    <w:p w:rsidR="00D415CD" w:rsidRPr="00D415CD" w:rsidRDefault="00D415CD" w:rsidP="00D415CD">
      <w:pPr>
        <w:pStyle w:val="ad"/>
        <w:jc w:val="center"/>
        <w:rPr>
          <w:b/>
        </w:rPr>
      </w:pPr>
      <w:r w:rsidRPr="00D415CD">
        <w:rPr>
          <w:b/>
        </w:rPr>
        <w:t>ПОЛОЖЕНИЕ</w:t>
      </w:r>
    </w:p>
    <w:p w:rsidR="00D415CD" w:rsidRPr="00D415CD" w:rsidRDefault="00D415CD" w:rsidP="00D415CD">
      <w:pPr>
        <w:pStyle w:val="ad"/>
        <w:jc w:val="center"/>
        <w:rPr>
          <w:b/>
        </w:rPr>
      </w:pPr>
      <w:r w:rsidRPr="00D415CD">
        <w:rPr>
          <w:b/>
        </w:rPr>
        <w:t>о специальном органе по увековечению памяти защитников Отечества</w:t>
      </w:r>
    </w:p>
    <w:p w:rsidR="00D415CD" w:rsidRPr="00D415CD" w:rsidRDefault="00D415CD" w:rsidP="00D415CD">
      <w:pPr>
        <w:pStyle w:val="ad"/>
      </w:pPr>
      <w:r w:rsidRPr="00D415CD">
        <w:t> 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 Общие положения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1.1. Специальный орган по увековечению памяти защитников Отечества на территории муниципального образования Кинзельский сельсовет Красногвардейского района Оренбургской области образован при органе местного самоуправления для рассмотрения вопросов увековечения памяти защитников Отечества.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1.2. В своей работе специальный орган руководствуется: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- Законом Российской Федерации от 14 января 1993 года № 4292-I «Об увековечении памяти погибших при защите Отечества»;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- Законом Оренбургской области от 21 февраля 1996 года «Об организации местного самоуправления в Оренбургской области»;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-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Правительством Российской Федерации.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1.3. Состав специального органа формируется в количестве не менее семи человек. 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1.4. Персональный состав специального органа утверждается постановлением  администрации Кинзельский сельсовет Красногвардейского района Оренбургской области.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1.5. В состав специального органа могут входить представители населенных пунктов, исторических, культурно-просветительских, общественных организаций и других организаций, входящих в состав муниципального образования. Специальный орган возглавляет глава муниципального образования.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На заседания специального органа могут приглашаться представители и специалисты из других ведомств и организаций.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Заседания специального органа проводятся по мере необходимости, но не реже двух раз год.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1.6. Специальный орган рассматривает вопросы по увековечению памяти защитников Отечества, в том числе предложения (ходатайства), поступающие от граждан, государственных, общественно-государственных (общественных) объединений и организаций (далее -гражданин, организация).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lastRenderedPageBreak/>
        <w:t xml:space="preserve">1.7. Перечень документов, представляемых в специальный орган: 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ходатайство гражданина (организации);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историческая или историко-биографическая справка об увековечиваемом защитнике Отечества;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копии архивных, наградных документов, подтверждающих достоверность события или заслуги увековечиваемого лица;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предложение по форме увековечения;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выписка из домовой книги с указанием периода проживания увековечиваемого лица по месту увековечения;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письменное обязательство ходатайствующей организации о финансировании работ;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1.8. Проведение работ по увековечению памяти защитника Отечества в зависимости от формы увековечения подлежат согласованию с заинтересованным должностным лицом по месту увековечения (собственником здания, территории, руководителем учреждения, организации и т.д.).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1.9. Не позже чем в месячный срок с даты поступления документов, указанных в пункте 1.7. настоящего Положения, проводится заседание специального органа по рассмотрению ходатайств. В результате рассмотрения ходатайств специальный орган принимает одно из следующих решений: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перенести рассмотрение ходатайств на срок, определяемый специальным органом, в связи с необходимостью получения дополнительных сведений и документов или по другим причинам, установленным специальным органом;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1.10. Решение принимается простым большинством голосов членов Специального органа.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1.11. Решения специального органа оформляются протоколом заседания специального органа, который утверждается главой муниципального образования в течение 5 рабочих дней с даты проведения заседания специального органа.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 xml:space="preserve">Решения считаются принятыми и принимаются к исполнению только после утверждения главой муниципального образования протокола заседания специального органа. 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В течение 5 рабочих дней с даты утверждения протокола заседания специального органа ходатайствующим организациям (гражданам) направляются письменные уведомления о решениях специального органа.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1.11. Ответственное должностное лицо за выполнение принятых решений: организует работу по его реализации, контролирует проведение работ;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lastRenderedPageBreak/>
        <w:t>устанавливает взаимодействие с заинтересованными организациями и гражданами;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при необходимости по согласованию с главой муниципального образования уточняет порядок выполнения мероприятий и вносит предложения на обсуждение специального органа;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совместно с главой муниципального образования и заинтересованными организациями осуществляет подготовку и проведение церемоний, торжественных захоронений,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открытий мемориальных сооружений или оказывает ходатайствующим организациям (гражданам) помощь в их проведении.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1.12. Решение о демонтаже мемориального сооружения, памятного знака, их замене, реконструкции принимается специальным органом по согласованию с органами, организациями, гражданами, инициировавшими их создание (установку).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1.13. Демонтаж мемориальных сооружений и дальнейшее хранение осуществляются по решению Специального органа.</w:t>
      </w:r>
    </w:p>
    <w:p w:rsidR="00D415CD" w:rsidRPr="00D415CD" w:rsidRDefault="00D415CD" w:rsidP="00D415CD">
      <w:pPr>
        <w:pStyle w:val="ad"/>
        <w:ind w:firstLine="284"/>
        <w:jc w:val="both"/>
      </w:pPr>
      <w:r w:rsidRPr="00D415CD">
        <w:t>1.14. Организационное, документационное и материально-техническое обеспечение работы специального органа возлагается на администрацию муниципального образования Кинзельский сельсовет Красногвардейского района Оренбургской области.</w:t>
      </w:r>
    </w:p>
    <w:p w:rsidR="00533A8B" w:rsidRPr="00D415CD" w:rsidRDefault="00533A8B" w:rsidP="00D415C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15C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447675" cy="5579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41" cy="56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5C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</w:p>
    <w:p w:rsidR="00D415CD" w:rsidRPr="00D415CD" w:rsidRDefault="00D415CD" w:rsidP="00D415CD">
      <w:pPr>
        <w:pStyle w:val="1"/>
        <w:spacing w:before="0" w:after="0"/>
        <w:ind w:firstLine="284"/>
        <w:jc w:val="center"/>
        <w:rPr>
          <w:rFonts w:ascii="Times New Roman" w:hAnsi="Times New Roman"/>
          <w:b w:val="0"/>
          <w:sz w:val="16"/>
          <w:szCs w:val="16"/>
        </w:rPr>
      </w:pPr>
      <w:r w:rsidRPr="00D415CD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</w:t>
      </w:r>
      <w:r w:rsidRPr="00D415CD">
        <w:rPr>
          <w:rFonts w:ascii="Times New Roman" w:hAnsi="Times New Roman"/>
          <w:caps/>
          <w:sz w:val="16"/>
          <w:szCs w:val="16"/>
        </w:rPr>
        <w:t>КрасногвардейскОГО районА оренбургской</w:t>
      </w:r>
      <w:r w:rsidRPr="00D415CD">
        <w:rPr>
          <w:rFonts w:ascii="Times New Roman" w:hAnsi="Times New Roman"/>
          <w:sz w:val="16"/>
          <w:szCs w:val="16"/>
        </w:rPr>
        <w:t xml:space="preserve"> ОБЛАСТИ</w:t>
      </w:r>
    </w:p>
    <w:p w:rsidR="00D415CD" w:rsidRPr="00D415CD" w:rsidRDefault="00D415CD" w:rsidP="00D415CD">
      <w:pPr>
        <w:pStyle w:val="1"/>
        <w:spacing w:before="0"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:rsidR="00D415CD" w:rsidRPr="00D415CD" w:rsidRDefault="00D415CD" w:rsidP="00D415CD">
      <w:pPr>
        <w:pStyle w:val="1"/>
        <w:spacing w:before="0" w:after="0"/>
        <w:ind w:firstLine="284"/>
        <w:jc w:val="center"/>
        <w:rPr>
          <w:rFonts w:ascii="Times New Roman" w:hAnsi="Times New Roman"/>
          <w:b w:val="0"/>
          <w:sz w:val="16"/>
          <w:szCs w:val="16"/>
        </w:rPr>
      </w:pPr>
      <w:r w:rsidRPr="00D415CD">
        <w:rPr>
          <w:rFonts w:ascii="Times New Roman" w:hAnsi="Times New Roman"/>
          <w:sz w:val="16"/>
          <w:szCs w:val="16"/>
        </w:rPr>
        <w:t>П О С Т А Н О В Л Е Н И Е</w:t>
      </w:r>
    </w:p>
    <w:p w:rsidR="00D415CD" w:rsidRPr="00D415CD" w:rsidRDefault="00D415CD" w:rsidP="00D415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15CD" w:rsidRPr="00D415CD" w:rsidRDefault="00D415CD" w:rsidP="00D415C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20.10.2025                                                       № 78-п/а</w:t>
      </w:r>
    </w:p>
    <w:p w:rsidR="00D415CD" w:rsidRPr="00D415CD" w:rsidRDefault="00D415CD" w:rsidP="00D415CD">
      <w:pPr>
        <w:pStyle w:val="1"/>
        <w:tabs>
          <w:tab w:val="left" w:pos="5730"/>
        </w:tabs>
        <w:spacing w:before="0" w:after="0"/>
        <w:ind w:firstLine="284"/>
        <w:jc w:val="center"/>
        <w:rPr>
          <w:rFonts w:ascii="Times New Roman" w:hAnsi="Times New Roman"/>
          <w:b w:val="0"/>
          <w:sz w:val="20"/>
          <w:szCs w:val="20"/>
        </w:rPr>
      </w:pPr>
      <w:r w:rsidRPr="00D415CD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1"/>
        <w:spacing w:before="0" w:after="0"/>
        <w:ind w:firstLine="284"/>
        <w:jc w:val="center"/>
        <w:rPr>
          <w:rFonts w:ascii="Times New Roman" w:hAnsi="Times New Roman"/>
          <w:b w:val="0"/>
          <w:sz w:val="20"/>
          <w:szCs w:val="20"/>
        </w:rPr>
      </w:pPr>
      <w:r w:rsidRPr="00D415CD">
        <w:rPr>
          <w:rFonts w:ascii="Times New Roman" w:hAnsi="Times New Roman"/>
          <w:b w:val="0"/>
          <w:sz w:val="20"/>
          <w:szCs w:val="20"/>
        </w:rPr>
        <w:t>Об утверждении порядка формирования перечня налоговых расходов муниципального образования Кинзельский сельсовет Красногвардейского района Оренбургской области и порядка оценки налоговых расходов 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В соответствии со </w:t>
      </w:r>
      <w:hyperlink r:id="rId12" w:history="1">
        <w:r w:rsidRPr="00D415CD">
          <w:rPr>
            <w:rStyle w:val="affe"/>
            <w:rFonts w:ascii="Times New Roman" w:hAnsi="Times New Roman"/>
            <w:color w:val="auto"/>
          </w:rPr>
          <w:t>статьей 174.3</w:t>
        </w:r>
      </w:hyperlink>
      <w:r w:rsidRPr="00D415CD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</w:t>
      </w:r>
      <w:hyperlink r:id="rId13" w:history="1">
        <w:r w:rsidRPr="00D415CD">
          <w:rPr>
            <w:rStyle w:val="affe"/>
            <w:rFonts w:ascii="Times New Roman" w:hAnsi="Times New Roman"/>
            <w:color w:val="auto"/>
          </w:rPr>
          <w:t>постановлением</w:t>
        </w:r>
      </w:hyperlink>
      <w:r w:rsidRPr="00D415CD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22 июня 2019 года N 796 "Об общих требованиях к оценке налоговых расходов субъектов Российской Федерации и муниципальных образований" на основании Устава муниципального образования Кинзельский сельсовет: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1. Утвердить: 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- порядок формирования перечня налоговых расходов муниципального образования Кинзельский сельсовет Красногвардейского района Оренбургской области согласно приложению № 1;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- порядок оценки налоговых расходов муниципального образования Кинзельский сельсовет </w:t>
      </w:r>
      <w:r w:rsidRPr="00D415CD">
        <w:rPr>
          <w:rFonts w:ascii="Times New Roman" w:hAnsi="Times New Roman" w:cs="Times New Roman"/>
          <w:sz w:val="20"/>
          <w:szCs w:val="20"/>
        </w:rPr>
        <w:lastRenderedPageBreak/>
        <w:t>Красногвардейского района Оренбургской области согласно приложению № 2.</w:t>
      </w:r>
    </w:p>
    <w:p w:rsidR="00D415CD" w:rsidRPr="00D415CD" w:rsidRDefault="00D415CD" w:rsidP="00D415CD">
      <w:pPr>
        <w:pStyle w:val="1"/>
        <w:spacing w:before="0" w:after="0"/>
        <w:ind w:firstLine="284"/>
        <w:jc w:val="both"/>
        <w:rPr>
          <w:rFonts w:ascii="Times New Roman" w:hAnsi="Times New Roman"/>
          <w:b w:val="0"/>
          <w:sz w:val="20"/>
          <w:szCs w:val="20"/>
        </w:rPr>
      </w:pPr>
      <w:r w:rsidRPr="00D415CD">
        <w:rPr>
          <w:rFonts w:ascii="Times New Roman" w:hAnsi="Times New Roman"/>
          <w:b w:val="0"/>
          <w:sz w:val="20"/>
          <w:szCs w:val="20"/>
        </w:rPr>
        <w:t>2. Признать утратившим силу постановление администрации Кинзельского сельсовета Красногвардейского района Оренбургской области от 04.05.2022 года № 47-п "Об утверждении порядка формирования перечня налоговых расходов муниципального образования Кинзельский сельсовет Красногвардейского района Оренбургской области и порядка оценки муниципального образования Кинзельский сельсовет Красногвардейского района Оренбургской области налоговых расходов».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D415CD" w:rsidRPr="00D415CD" w:rsidRDefault="00D415CD" w:rsidP="00D41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 1 января 2025 года и подлежит обнародованию в установленном порядке в соответствии с действующим законодательством, а также подлежит размещению на официальном сайте администрации муниципального образования Кинзельский сельсовет Красногвардейского района Оренбургской области.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Врио главы сельсовета                             С.А. Морозова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от 20.10.2025 № 78-п/а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Порядок</w:t>
      </w: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формирования перечня налоговых расходов 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1. Настоящий Порядок определяет правила формирования перечня налоговых расходов муниципального образования Кинзельский сельсовет Красногвардейского района Оренбургской области (далее - муниципальное образование).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2. Понятия, используемые в настоящем Порядке, означают следующее: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"налоговые расходы муниципального образования" - выпадающие доходы бюджета поселения,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"куратор налогового расхода" - местная администрация, ответственная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образования;</w:t>
      </w:r>
    </w:p>
    <w:p w:rsidR="00D415CD" w:rsidRPr="00D415CD" w:rsidRDefault="00D415CD" w:rsidP="00D415C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lastRenderedPageBreak/>
        <w:t>"</w:t>
      </w:r>
      <w:r w:rsidRPr="00D415CD">
        <w:rPr>
          <w:rFonts w:ascii="Times New Roman" w:hAnsi="Times New Roman" w:cs="Times New Roman"/>
          <w:bCs/>
          <w:sz w:val="20"/>
          <w:szCs w:val="20"/>
        </w:rPr>
        <w:t>соисполнитель куратора налогового расхода</w:t>
      </w:r>
      <w:r w:rsidRPr="00D415CD">
        <w:rPr>
          <w:rFonts w:ascii="Times New Roman" w:hAnsi="Times New Roman" w:cs="Times New Roman"/>
          <w:sz w:val="20"/>
          <w:szCs w:val="20"/>
        </w:rPr>
        <w:t>"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 - местная администрация, </w:t>
      </w:r>
      <w:r w:rsidRPr="00D415CD">
        <w:rPr>
          <w:rFonts w:ascii="Times New Roman" w:hAnsi="Times New Roman" w:cs="Times New Roman"/>
          <w:sz w:val="20"/>
          <w:szCs w:val="20"/>
        </w:rPr>
        <w:t>ответственная в соответствии с полномочиями, установленными нормативными правовыми актами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за реализацию мероприятий, связанных с применением льгот, обусловливающих налоговые расходы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в рамках </w:t>
      </w:r>
      <w:r w:rsidRPr="00D415CD">
        <w:rPr>
          <w:rFonts w:ascii="Times New Roman" w:hAnsi="Times New Roman" w:cs="Times New Roman"/>
          <w:sz w:val="20"/>
          <w:szCs w:val="20"/>
        </w:rPr>
        <w:t>муниципальных программ муниципального образования, и (или) целей социально-экономической политики муниципального образования, не относящихся к муниципальным программам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и участвующие совместно с куратором налоговых расходов в проведении оценки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"перечень налоговых расходов муниципального образования" - 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и (или) целями социально-экономической политики муниципального образования, не относящимися к муниципальным программам муниципального образования, о кураторах налоговых расходов, а также иные сведения согласно приложению к настоящему Порядку.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3. Перечень налоговых расходов муниципального образования размещается на официальном сайте муниципального образования в информационно – телекоммуникационной сети "Интернет".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4. Перечень налоговых расходов муниципального образования с внесенными в него изменениями формируется до 1 ноября (в случае уточнения муниципальных программ муниципального образования в рамках формирования проекта закона о бюджете сельского поселения на очередной финансовый год и плановый период) и до 15 декабря (в случае уточнения муниципальных программ муниципального образования в рамках рассмотрения и утверждения проекта закона о бюджете сельского поселения на очередной финансовый год и плановый период).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Приложение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 порядку формирования перечня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налоговых расходов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 Красногвардейского района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Информация,</w:t>
      </w: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включаемая в перечень налоговых расходов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15CD">
        <w:rPr>
          <w:rFonts w:ascii="Times New Roman" w:hAnsi="Times New Roman" w:cs="Times New Roman"/>
          <w:b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I. Нормативные характеристики налогового расхода 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1.Наименования налогов, по которым предусматриваются налоговые льготы, освобождения и иные преференции.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2.Нормативные правовые акты, которыми предусматриваются налоговые льготы, освобождения и иные преференции по налогам.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lastRenderedPageBreak/>
        <w:t>3. Категории плательщиков налогов, для которых предусмотрены налоговые льготы, освобождения и иные преференции.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4. Условия предоставления налоговых льгот, освобождений и иных преференций для плательщиков налогов.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5. Целевая категория плательщиков налогов, для которых предусмотрены налоговые льготы, освобождения и иные преференции.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6. Даты вступления в силу нормативных правовых актов, устанавливающих налоговые льготы, освобождения и иные преференции для плательщиков налогов.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7. Даты вступления в силу нормативных правовых актов, отменяющих налоговые льготы, освобождения и иные преференции для плательщиков налогов.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II. Целевые характеристики налогового расхода 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1.Целевая категория налоговых расходов муниципального образования Кинзельский сельсовет.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2. Цели предоставления налоговых льгот, освобождений и иных преференций для плательщиков налогов.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3. Наименования муниципальных программ муниципального образования Кинзельский сельсовет, наименования нормативных правовых актов, определяющих цели социально-экономической политики муниципального образования Кинзельский сельсовет, не относящиеся к муниципальным программам муниципального образования Кинзельский сельсовет, в целях реализации, которых предоставляются налоговые льготы, освобождения и иные преференции для плательщиков налогов.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4. Куратор налогового расхода.</w:t>
      </w:r>
    </w:p>
    <w:p w:rsidR="00D415CD" w:rsidRPr="00D415CD" w:rsidRDefault="00D415CD" w:rsidP="00D415CD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Приложение № 2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Красногвардейского района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от 20.10.2025 № 78-п/а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Порядок</w:t>
      </w: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оценки налоговых расходов 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1. Настоящий Порядок устанавливает процедуру проведения оценки налоговых расходов муниципального образования Кинзельский сельсовет Красногвардейского района Оренбургской области (далее - муниципальное образование).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2. Понятия, используемые в настоящем Порядке, означают следующее: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"налоговые расходы муниципального образования" - выпадающие доходы бюджета поселения,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</w:t>
      </w:r>
      <w:r w:rsidRPr="00D415CD">
        <w:rPr>
          <w:rFonts w:ascii="Times New Roman" w:hAnsi="Times New Roman" w:cs="Times New Roman"/>
          <w:sz w:val="20"/>
          <w:szCs w:val="20"/>
        </w:rPr>
        <w:lastRenderedPageBreak/>
        <w:t>политики муниципального образования, не относящимися к муниципальным программам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"куратор налогового расхода" - местная администрация, ответственная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образования;</w:t>
      </w:r>
    </w:p>
    <w:p w:rsidR="00D415CD" w:rsidRPr="00D415CD" w:rsidRDefault="00D415CD" w:rsidP="00D415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</w:t>
      </w:r>
      <w:r w:rsidRPr="00D415CD">
        <w:rPr>
          <w:rFonts w:ascii="Times New Roman" w:hAnsi="Times New Roman" w:cs="Times New Roman"/>
          <w:bCs/>
          <w:sz w:val="20"/>
          <w:szCs w:val="20"/>
        </w:rPr>
        <w:t>соисполнитель куратора налогового расхода</w:t>
      </w:r>
      <w:r w:rsidRPr="00D415CD">
        <w:rPr>
          <w:rFonts w:ascii="Times New Roman" w:hAnsi="Times New Roman" w:cs="Times New Roman"/>
          <w:sz w:val="20"/>
          <w:szCs w:val="20"/>
        </w:rPr>
        <w:t>"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 - местная администрация, </w:t>
      </w:r>
      <w:r w:rsidRPr="00D415CD">
        <w:rPr>
          <w:rFonts w:ascii="Times New Roman" w:hAnsi="Times New Roman" w:cs="Times New Roman"/>
          <w:sz w:val="20"/>
          <w:szCs w:val="20"/>
        </w:rPr>
        <w:t>ответственная в соответствии с полномочиями, установленными нормативными правовыми актами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за реализацию мероприятий, связанных с применением льгот, обусловливающих налоговые расходы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в рамках </w:t>
      </w:r>
      <w:r w:rsidRPr="00D415CD">
        <w:rPr>
          <w:rFonts w:ascii="Times New Roman" w:hAnsi="Times New Roman" w:cs="Times New Roman"/>
          <w:sz w:val="20"/>
          <w:szCs w:val="20"/>
        </w:rPr>
        <w:t>муниципальных программ муниципального образования, и (или) целей социально-экономической политики муниципального образования, не относящихся к муниципальным программам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/>
        </w:rPr>
        <w:t>, и участвующие совместно с куратором налоговых расходов в проведении оценки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"нормативные характеристики налоговых расходов муниципального образования" - сведения о положениях нормативных правовых актов нормативных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"оценка налоговых расходов муниципального образования" - комплекс мероприятий по оценке объемов налоговых расходов муниципального образования", обусловленных льготами, предоставленными плательщикам, а также по оценке эффективности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"оценка объемов налоговых расходов муниципального образования" - определение объемов выпадающих доходов бюджета сельского поселения, обусловленных льготами, предоставленными плательщикам;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"оценка эффективности налоговых расходов муниципального образования"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"перечень налоговых расходов муниципального образования" - 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и (или) целями социально-экономической политики муниципального образования, не относящимися к муниципальным программам муниципального образования, о кураторах налоговых расходов, а также иные сведения, предусмотренные администрацией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"плательщики" - плательщики налогов;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lastRenderedPageBreak/>
        <w:t xml:space="preserve">"социальные налоговые расходы муниципального образования" - целевая категория налоговых расходов муниципального образования, обусловленных необходимостью обеспечения социальной защиты (поддержки) населения, </w:t>
      </w:r>
      <w:r w:rsidRPr="00D415CD">
        <w:rPr>
          <w:rStyle w:val="aff4"/>
          <w:rFonts w:ascii="Times New Roman" w:hAnsi="Times New Roman" w:cs="Times New Roman"/>
          <w:i w:val="0"/>
          <w:sz w:val="20"/>
          <w:szCs w:val="20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"стимулирующие налоговые расходы муниципального образования" - 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</w:t>
      </w:r>
      <w:r w:rsidRPr="00D415CD">
        <w:rPr>
          <w:rStyle w:val="aff4"/>
          <w:rFonts w:ascii="Times New Roman" w:hAnsi="Times New Roman" w:cs="Times New Roman"/>
          <w:i w:val="0"/>
          <w:sz w:val="20"/>
          <w:szCs w:val="20"/>
        </w:rPr>
        <w:t>(предотвращение снижения)</w:t>
      </w:r>
      <w:r w:rsidRPr="00D415CD">
        <w:rPr>
          <w:rFonts w:ascii="Times New Roman" w:hAnsi="Times New Roman" w:cs="Times New Roman"/>
          <w:sz w:val="20"/>
          <w:szCs w:val="20"/>
        </w:rPr>
        <w:t xml:space="preserve"> доходов бюджета сельского поселения;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"технические налоговые расходы муниципального образования" - целевая категория налоговых расходов муниципального образования,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 w:rsidRPr="00D415CD">
        <w:rPr>
          <w:rStyle w:val="aff4"/>
          <w:rFonts w:ascii="Times New Roman" w:hAnsi="Times New Roman" w:cs="Times New Roman"/>
          <w:i w:val="0"/>
          <w:sz w:val="20"/>
          <w:szCs w:val="20"/>
        </w:rPr>
        <w:t>бюджетов бюджетной системы</w:t>
      </w:r>
      <w:r w:rsidRPr="00D415CD">
        <w:rPr>
          <w:rFonts w:ascii="Times New Roman" w:hAnsi="Times New Roman" w:cs="Times New Roman"/>
          <w:sz w:val="20"/>
          <w:szCs w:val="20"/>
        </w:rPr>
        <w:t> Российской Федерации;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"фискальные характеристики налоговых расходов муниципального образования"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сельского поселения;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"целевые характеристики налогового расхода муниципального образования" - сведения о целях предоставления льготы, показателях (индикаторах) достижения целей предоставления льготы, а также иные характеристики, предусмотренные нормативными правовыми актами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3. Отнесение налоговых расходов муниципального образования к муниципальным программам муниципального образования осуществляется исходя из целей муниципальных программ муниципального образования, и (или) целей социально-экономической политики муниципального образования, не относящихся к муниципальным программам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4. Оценка налоговых расходов муниципального образования осуществляется куратором налогового расхода в соответствии с настоящим Порядком.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5. В соответствии с </w:t>
      </w:r>
      <w:hyperlink r:id="rId14" w:history="1">
        <w:r w:rsidRPr="00D415CD">
          <w:rPr>
            <w:rStyle w:val="affe"/>
            <w:rFonts w:ascii="Times New Roman" w:hAnsi="Times New Roman"/>
            <w:color w:val="auto"/>
          </w:rPr>
          <w:t>постановлением</w:t>
        </w:r>
      </w:hyperlink>
      <w:r w:rsidRPr="00D415CD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 от 22.06.2019 № 796 в целях проведения оценки эффективности налоговых расходов муниципального образования: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а) Администрация муниципального образования до 1 февраля направляет в Межрайонную инспекцию федеральной налоговой службы № 3 по Оренбургской области сведения о категориях плательщиков с указанием обусловливающих соответствующие налоговые расходы нормативных правовых актов муниципального образования, в том числе действовавших в отчетном году и в году, предшествующем отчетному году, и иной информации, предусмотренной приложением к настоящему Порядку;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б) до 15 июля представляет в финансовый отдел администрации Красногвардейского района данные для оценки налоговых расходов муниципального образования Кинзельский  сельсовет по перечню </w:t>
      </w:r>
      <w:r w:rsidRPr="00D415CD">
        <w:rPr>
          <w:rFonts w:ascii="Times New Roman" w:hAnsi="Times New Roman" w:cs="Times New Roman"/>
          <w:sz w:val="20"/>
          <w:szCs w:val="20"/>
        </w:rPr>
        <w:lastRenderedPageBreak/>
        <w:t>согласно приложению к порядку оценки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в) до 20 августа представляет в финансовый отдел администрации Красногвардейского района уточненную информацию согласно приложению к порядку оценки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6. Оценка эффективности налоговых расходов муниципального образования осуществляется кураторами налоговых расходов и включает: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а) оценку целесообразности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б) оценку результативности налоговых расходов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7. Критериями целесообразности налоговых расходов муниципального образования являются: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соответствие налоговых расходов муниципального образования целям муниципальных программ муниципального образования, и (или) целям социально-экономической политики муниципального образования, не относящимся к муниципальным программам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</w:t>
      </w:r>
      <w:r w:rsidRPr="00D415CD">
        <w:rPr>
          <w:rStyle w:val="aff4"/>
          <w:rFonts w:ascii="Times New Roman" w:hAnsi="Times New Roman" w:cs="Times New Roman"/>
          <w:i w:val="0"/>
          <w:sz w:val="20"/>
          <w:szCs w:val="20"/>
        </w:rPr>
        <w:t>численности плательщиков, обладающих потенциальным правом на применение льготы, или</w:t>
      </w:r>
      <w:r w:rsidRPr="00D415CD">
        <w:rPr>
          <w:rFonts w:ascii="Times New Roman" w:hAnsi="Times New Roman" w:cs="Times New Roman"/>
          <w:sz w:val="20"/>
          <w:szCs w:val="20"/>
        </w:rPr>
        <w:t xml:space="preserve"> общей численности плательщиков за 5-летний период.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при котором льгота признается востребованной.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8. В случае несоответствия налоговых расходов муниципального образования хотя бы одному из критериев, указанных в пункте 7 настоящего Порядка, 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и (или) недостижения положительных значений оценки вклада предусмотренных для плательщиков льгот в изменение значения показателя (индикатора) достижения целей</w:t>
      </w:r>
      <w:r w:rsidRPr="00D415CD">
        <w:rPr>
          <w:rFonts w:ascii="Times New Roman" w:hAnsi="Times New Roman" w:cs="Times New Roman"/>
          <w:sz w:val="20"/>
          <w:szCs w:val="20"/>
        </w:rPr>
        <w:t xml:space="preserve"> муниципальных программ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и (или) целей социально-экономической политики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не относящихся</w:t>
      </w:r>
      <w:r w:rsidRPr="00D415CD">
        <w:rPr>
          <w:rFonts w:ascii="Times New Roman" w:hAnsi="Times New Roman" w:cs="Times New Roman"/>
          <w:sz w:val="20"/>
          <w:szCs w:val="20"/>
        </w:rPr>
        <w:t xml:space="preserve"> к муниципальным программам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и (или) достижения более высоких показателей результативности применения альтернативных механизмов достижения целей </w:t>
      </w:r>
      <w:r w:rsidRPr="00D415CD">
        <w:rPr>
          <w:rFonts w:ascii="Times New Roman" w:hAnsi="Times New Roman" w:cs="Times New Roman"/>
          <w:sz w:val="20"/>
          <w:szCs w:val="20"/>
        </w:rPr>
        <w:t xml:space="preserve">муниципальных программ муниципального 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образования и (или) целей социально-экономической политики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образования, не относящихся к муниципальным программам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по результатам оценки бюджетной эффективности налоговых расходов муниципального образования, и (или) недостижения положительных значений оценки совокупного бюджетного эффекта (самоокупаемости) стимулирующих налоговых расходов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 куратору налогового расхода надлежит представить в Совет депутатов муниципального образования предложения о сохранении (уточнении, отмене) льгот для плательщиков.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9. В качестве критерия результативности налогового расхода муниципального образования определяется как </w:t>
      </w:r>
      <w:r w:rsidRPr="00D415CD">
        <w:rPr>
          <w:rFonts w:ascii="Times New Roman" w:hAnsi="Times New Roman" w:cs="Times New Roman"/>
          <w:sz w:val="20"/>
          <w:szCs w:val="20"/>
        </w:rPr>
        <w:lastRenderedPageBreak/>
        <w:t>минимум один показатель (индикатор)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либо иной показатель (индикатор), на значение которого оказывают влияние налоговые расходы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color w:val="FF0000"/>
          <w:sz w:val="20"/>
          <w:szCs w:val="20"/>
        </w:rPr>
        <w:t> </w:t>
      </w:r>
      <w:r w:rsidRPr="00D415CD">
        <w:rPr>
          <w:rFonts w:ascii="Times New Roman" w:hAnsi="Times New Roman" w:cs="Times New Roman"/>
          <w:sz w:val="20"/>
          <w:szCs w:val="20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10. Оценка результативности налоговых расходов муниципального образования включает оценку 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вклада предусмотренных для плательщиков льгот в изменение значения показателя (индикатора) достижения целей</w:t>
      </w:r>
      <w:r w:rsidRPr="00D415CD">
        <w:rPr>
          <w:rFonts w:ascii="Times New Roman" w:hAnsi="Times New Roman" w:cs="Times New Roman"/>
          <w:sz w:val="20"/>
          <w:szCs w:val="20"/>
        </w:rPr>
        <w:t xml:space="preserve">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оценку б</w:t>
      </w:r>
      <w:r w:rsidRPr="00D415CD">
        <w:rPr>
          <w:rFonts w:ascii="Times New Roman" w:hAnsi="Times New Roman" w:cs="Times New Roman"/>
          <w:sz w:val="20"/>
          <w:szCs w:val="20"/>
        </w:rPr>
        <w:t xml:space="preserve">юджетной эффективности налоговых расходов муниципального образования и 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оценку совокупного бюджетного эффекта (самоокупаемости) стимулирующих налоговых расходов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11. В целях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муниципального образования и (или) целей социально-экономической политики, не относящихся к муниципальным программам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Style w:val="aff4"/>
          <w:rFonts w:ascii="Times New Roman" w:hAnsi="Times New Roman" w:cs="Times New Roman"/>
          <w:i w:val="0"/>
          <w:sz w:val="20"/>
          <w:szCs w:val="20"/>
        </w:rPr>
        <w:t xml:space="preserve">При необходимости куратором налогового расхода могут быть установлены дополнительные критерии оценки результативности налогового расхода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12. Сравнительный анализ включает сравнение объемов расходов бюджета сельского поселения в случае применения альтернативных механизмов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и объемов предоставленных льгот (расчет прироста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на 1 рубль налоговых расходов муниципального образования и на 1 рубль расходов бюджета сельского поселения для достижения того же показателя (индикатора) в случае применения альтернативных механизмов).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В качестве альтернативных механизмов достижения целей муниципальной программы муниципального </w:t>
      </w:r>
      <w:r w:rsidRPr="00D415CD">
        <w:rPr>
          <w:rFonts w:ascii="Times New Roman" w:hAnsi="Times New Roman" w:cs="Times New Roman"/>
          <w:sz w:val="20"/>
          <w:szCs w:val="20"/>
        </w:rPr>
        <w:lastRenderedPageBreak/>
        <w:t>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а) субсидии или иные формы непосредственной финансовой поддержки плательщиков, имеющих право на льготы, за счет средств бюджета сельского поселения;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б) предоставление муниципальных гарантий по обязательствам плательщиков, имеющих право на льготы;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в) совершенствование правового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13. Оценку результативности налоговых расходов муниципального образования допускается не проводить в отношении: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а) технических налоговых расходов муниципального образования;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б) налоговых расходов муниципального образования, по которым на момент проведения оценки эффективности налоговых расходов муниципального образования отсутствуют фискальные характеристики;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в) налоговых расходов муниципального образования, обусловленных льготами, срок действия которых составляет менее одного года.</w:t>
      </w:r>
    </w:p>
    <w:p w:rsidR="00D415CD" w:rsidRPr="00D415CD" w:rsidRDefault="00D415CD" w:rsidP="00D415CD">
      <w:pPr>
        <w:pStyle w:val="s1"/>
        <w:ind w:firstLine="0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13.1. 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Оценку востребованности плательщиками предоставленных льгот допускается не проводить в отношении:</w:t>
      </w:r>
    </w:p>
    <w:p w:rsidR="00D415CD" w:rsidRPr="00D415CD" w:rsidRDefault="00D415CD" w:rsidP="00D415C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а) льгот, обусловливающих налоговые расходы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по которым на момент проведения оценки эффективности налоговых расходов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отсутствуют фискальные характеристики;</w:t>
      </w:r>
    </w:p>
    <w:p w:rsidR="00D415CD" w:rsidRPr="00D415CD" w:rsidRDefault="00D415CD" w:rsidP="00D415C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б) налоговых расходов </w:t>
      </w: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D415C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 обусловленных льготами, срок действия которых составляет менее одного года.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14. 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образования, вкладе налогового расхода муниципального образования в достижение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о наличии или об отсутствии более результативных (менее затратных для бюджета сельского поселения)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15. Результаты оценки эффективности налоговых расходов муниципального образования оформляются администрацией муниципального образования аналитической запиской в срок до 4 августа.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Результаты оценки предоставляются в финансовый отдел Красногвардейского района не позднее 5 августа для дальнейшего предоставления в Министерство финансов Оренбургской области.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lastRenderedPageBreak/>
        <w:t>Результаты рассмотрения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 программ муниципального образования.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Приложение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 порядку оценки налоговых расходов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Кинзельский сельсовет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 xml:space="preserve"> Красногвардейского района</w:t>
      </w:r>
    </w:p>
    <w:p w:rsidR="00D415CD" w:rsidRPr="00D415CD" w:rsidRDefault="00D415CD" w:rsidP="00D415C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415CD">
        <w:rPr>
          <w:rFonts w:ascii="Times New Roman" w:hAnsi="Times New Roman" w:cs="Times New Roman"/>
          <w:sz w:val="20"/>
          <w:szCs w:val="20"/>
        </w:rPr>
        <w:t>Оренбургской области</w:t>
      </w:r>
    </w:p>
    <w:p w:rsidR="00D415CD" w:rsidRPr="00D415CD" w:rsidRDefault="00D415CD" w:rsidP="00D415CD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Перечень</w:t>
      </w:r>
    </w:p>
    <w:p w:rsidR="00D415CD" w:rsidRPr="00D415CD" w:rsidRDefault="00D415CD" w:rsidP="00D415CD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показателей для проведения оценки налоговых расходов</w:t>
      </w: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D415CD">
        <w:rPr>
          <w:rFonts w:ascii="Times New Roman" w:hAnsi="Times New Roman" w:cs="Times New Roman"/>
          <w:b/>
          <w:color w:val="auto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276"/>
      </w:tblGrid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Предоставляемая информация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Источник данных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I. Территориальная принадлежность налогового расхода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II. Нормативные характеристики налоговых расходов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правовые акты муниципального образования, </w:t>
            </w:r>
            <w:r w:rsidRPr="00D415C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в том числе действующие в отчетном году и действовавшие в году, предшествующем отчетному году,</w:t>
            </w: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 xml:space="preserve">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действия налоговых льгот, освобождений и иных преференций по налогам, предоставленным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III. Целевые характеристики налоговых расходов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Наименования налоговых льгот, освобождений и иных преференций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Виды налоговых льгот, освобождений и иных преференций, определяющие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по налогам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 xml:space="preserve">Код вида экономической деятельности (по ОКВЭД), к которому относится налоговый расход (если налоговый расход обусловлен </w:t>
            </w:r>
            <w:r w:rsidRPr="00D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Принадлежность налогового расхода к группе полномочий в соответствии с методикой распределения дотаций, утвержденной </w:t>
            </w:r>
            <w:hyperlink r:id="rId15" w:history="1">
              <w:r w:rsidRPr="00D415CD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</w:rPr>
                <w:t>постановлением</w:t>
              </w:r>
            </w:hyperlink>
            <w:r w:rsidRPr="00D415C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Российской Федерации от 22 ноября 2004 года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IV. Фискальные характеристики налогового расхода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субъектов Российской Федерации за отчетный год и за год, предшествующий отчетному году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ФНС России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 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ФНС России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20.1. Общая численность плательщиков налогов (единиц)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ФНС России</w:t>
            </w:r>
          </w:p>
        </w:tc>
      </w:tr>
      <w:tr w:rsidR="00D415CD" w:rsidRPr="00D415CD" w:rsidTr="00D415CD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CD" w:rsidRPr="00D415CD" w:rsidRDefault="00D415CD" w:rsidP="00D415CD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Результат оценки эффективности налогового расхода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5CD" w:rsidRPr="00D415CD" w:rsidRDefault="00D415CD" w:rsidP="00D41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5C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</w:tr>
    </w:tbl>
    <w:p w:rsidR="00D415CD" w:rsidRPr="00D415CD" w:rsidRDefault="00D415CD" w:rsidP="00D415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6430" w:rsidRPr="00D415CD" w:rsidTr="004B6430">
        <w:tc>
          <w:tcPr>
            <w:tcW w:w="5035" w:type="dxa"/>
          </w:tcPr>
          <w:p w:rsidR="004B6430" w:rsidRPr="00D415CD" w:rsidRDefault="004B6430" w:rsidP="00FC0B69">
            <w:pPr>
              <w:jc w:val="both"/>
            </w:pPr>
            <w:r w:rsidRPr="00D415CD">
              <w:rPr>
                <w:sz w:val="28"/>
                <w:szCs w:val="28"/>
              </w:rPr>
              <w:t xml:space="preserve">Нормативно-правовые акты и иная информация администрации сельсовета размещается на официальном сайте </w:t>
            </w:r>
            <w:hyperlink r:id="rId16" w:history="1">
              <w:r w:rsidRPr="00D415CD">
                <w:rPr>
                  <w:rStyle w:val="ac"/>
                  <w:sz w:val="28"/>
                  <w:szCs w:val="28"/>
                </w:rPr>
                <w:t>https://kinzelka.ru/</w:t>
              </w:r>
            </w:hyperlink>
          </w:p>
        </w:tc>
      </w:tr>
    </w:tbl>
    <w:p w:rsidR="00213485" w:rsidRPr="00D415CD" w:rsidRDefault="00213485" w:rsidP="00DA55FB">
      <w:pPr>
        <w:pStyle w:val="ad"/>
        <w:jc w:val="both"/>
        <w:rPr>
          <w:sz w:val="16"/>
          <w:szCs w:val="16"/>
        </w:rPr>
      </w:pPr>
    </w:p>
    <w:p w:rsidR="00213485" w:rsidRPr="00D415CD" w:rsidRDefault="00213485" w:rsidP="00DA55FB">
      <w:pPr>
        <w:pStyle w:val="ad"/>
        <w:jc w:val="both"/>
        <w:rPr>
          <w:sz w:val="16"/>
          <w:szCs w:val="16"/>
        </w:rPr>
      </w:pPr>
    </w:p>
    <w:p w:rsidR="00213485" w:rsidRPr="00D415CD" w:rsidRDefault="00213485" w:rsidP="00DA55FB">
      <w:pPr>
        <w:pStyle w:val="ad"/>
        <w:jc w:val="both"/>
        <w:rPr>
          <w:sz w:val="16"/>
          <w:szCs w:val="16"/>
        </w:rPr>
      </w:pPr>
    </w:p>
    <w:p w:rsidR="00AD7D40" w:rsidRPr="00D415CD" w:rsidRDefault="00AD7D40" w:rsidP="00DA55FB">
      <w:pPr>
        <w:pStyle w:val="ad"/>
        <w:jc w:val="both"/>
        <w:rPr>
          <w:sz w:val="16"/>
          <w:szCs w:val="16"/>
        </w:rPr>
      </w:pPr>
      <w:r w:rsidRPr="00D415CD">
        <w:rPr>
          <w:sz w:val="16"/>
          <w:szCs w:val="16"/>
        </w:rPr>
        <w:t xml:space="preserve">Главный редактор – </w:t>
      </w:r>
      <w:r w:rsidR="00DA55FB" w:rsidRPr="00D415CD">
        <w:rPr>
          <w:sz w:val="16"/>
          <w:szCs w:val="16"/>
        </w:rPr>
        <w:t>Морозова С.А</w:t>
      </w:r>
      <w:r w:rsidRPr="00D415CD">
        <w:rPr>
          <w:sz w:val="16"/>
          <w:szCs w:val="16"/>
        </w:rPr>
        <w:t xml:space="preserve">. </w:t>
      </w:r>
    </w:p>
    <w:p w:rsidR="00AD7D40" w:rsidRPr="00D415CD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D415CD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D415CD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D415CD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D415CD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D415CD" w:rsidSect="00D415CD">
          <w:type w:val="continuous"/>
          <w:pgSz w:w="11906" w:h="16838"/>
          <w:pgMar w:top="567" w:right="849" w:bottom="567" w:left="851" w:header="340" w:footer="0" w:gutter="0"/>
          <w:cols w:num="2" w:space="566"/>
          <w:docGrid w:linePitch="360"/>
        </w:sectPr>
      </w:pPr>
      <w:r w:rsidRPr="00D415CD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7" w:history="1">
        <w:r w:rsidRPr="00D415C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D415CD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D415CD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D415CD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205D2B" w:rsidRPr="00D415CD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A1E" w:rsidRDefault="00C77A1E" w:rsidP="006B0345">
      <w:pPr>
        <w:spacing w:after="0" w:line="240" w:lineRule="auto"/>
      </w:pPr>
      <w:r>
        <w:separator/>
      </w:r>
    </w:p>
  </w:endnote>
  <w:endnote w:type="continuationSeparator" w:id="0">
    <w:p w:rsidR="00C77A1E" w:rsidRDefault="00C77A1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A1E" w:rsidRDefault="00C77A1E" w:rsidP="006B0345">
      <w:pPr>
        <w:spacing w:after="0" w:line="240" w:lineRule="auto"/>
      </w:pPr>
      <w:r>
        <w:separator/>
      </w:r>
    </w:p>
  </w:footnote>
  <w:footnote w:type="continuationSeparator" w:id="0">
    <w:p w:rsidR="00C77A1E" w:rsidRDefault="00C77A1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5C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737136"/>
    <w:multiLevelType w:val="hybridMultilevel"/>
    <w:tmpl w:val="33941CFC"/>
    <w:lvl w:ilvl="0" w:tplc="94E6C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C772A1"/>
    <w:multiLevelType w:val="hybridMultilevel"/>
    <w:tmpl w:val="CF1E6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6870C21"/>
    <w:multiLevelType w:val="hybridMultilevel"/>
    <w:tmpl w:val="8990F7D4"/>
    <w:lvl w:ilvl="0" w:tplc="0419000F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8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54"/>
  </w:num>
  <w:num w:numId="7">
    <w:abstractNumId w:val="57"/>
  </w:num>
  <w:num w:numId="8">
    <w:abstractNumId w:val="22"/>
  </w:num>
  <w:num w:numId="9">
    <w:abstractNumId w:val="25"/>
  </w:num>
  <w:num w:numId="10">
    <w:abstractNumId w:val="53"/>
  </w:num>
  <w:num w:numId="11">
    <w:abstractNumId w:val="10"/>
  </w:num>
  <w:num w:numId="12">
    <w:abstractNumId w:val="49"/>
  </w:num>
  <w:num w:numId="13">
    <w:abstractNumId w:val="21"/>
  </w:num>
  <w:num w:numId="14">
    <w:abstractNumId w:val="13"/>
  </w:num>
  <w:num w:numId="15">
    <w:abstractNumId w:val="50"/>
  </w:num>
  <w:num w:numId="16">
    <w:abstractNumId w:val="31"/>
  </w:num>
  <w:num w:numId="17">
    <w:abstractNumId w:val="20"/>
  </w:num>
  <w:num w:numId="18">
    <w:abstractNumId w:val="46"/>
  </w:num>
  <w:num w:numId="19">
    <w:abstractNumId w:val="40"/>
  </w:num>
  <w:num w:numId="20">
    <w:abstractNumId w:val="32"/>
  </w:num>
  <w:num w:numId="21">
    <w:abstractNumId w:val="9"/>
  </w:num>
  <w:num w:numId="22">
    <w:abstractNumId w:val="29"/>
  </w:num>
  <w:num w:numId="23">
    <w:abstractNumId w:val="35"/>
  </w:num>
  <w:num w:numId="24">
    <w:abstractNumId w:val="15"/>
  </w:num>
  <w:num w:numId="25">
    <w:abstractNumId w:val="12"/>
  </w:num>
  <w:num w:numId="26">
    <w:abstractNumId w:val="56"/>
  </w:num>
  <w:num w:numId="27">
    <w:abstractNumId w:val="44"/>
  </w:num>
  <w:num w:numId="28">
    <w:abstractNumId w:val="24"/>
  </w:num>
  <w:num w:numId="29">
    <w:abstractNumId w:val="51"/>
  </w:num>
  <w:num w:numId="30">
    <w:abstractNumId w:val="4"/>
  </w:num>
  <w:num w:numId="31">
    <w:abstractNumId w:val="41"/>
  </w:num>
  <w:num w:numId="32">
    <w:abstractNumId w:val="19"/>
  </w:num>
  <w:num w:numId="33">
    <w:abstractNumId w:val="39"/>
  </w:num>
  <w:num w:numId="34">
    <w:abstractNumId w:val="48"/>
  </w:num>
  <w:num w:numId="35">
    <w:abstractNumId w:val="30"/>
  </w:num>
  <w:num w:numId="36">
    <w:abstractNumId w:val="47"/>
  </w:num>
  <w:num w:numId="37">
    <w:abstractNumId w:val="34"/>
  </w:num>
  <w:num w:numId="38">
    <w:abstractNumId w:val="38"/>
  </w:num>
  <w:num w:numId="39">
    <w:abstractNumId w:val="26"/>
  </w:num>
  <w:num w:numId="40">
    <w:abstractNumId w:val="7"/>
  </w:num>
  <w:num w:numId="41">
    <w:abstractNumId w:val="27"/>
  </w:num>
  <w:num w:numId="42">
    <w:abstractNumId w:val="55"/>
  </w:num>
  <w:num w:numId="43">
    <w:abstractNumId w:val="28"/>
  </w:num>
  <w:num w:numId="44">
    <w:abstractNumId w:val="36"/>
  </w:num>
  <w:num w:numId="45">
    <w:abstractNumId w:val="6"/>
  </w:num>
  <w:num w:numId="46">
    <w:abstractNumId w:val="45"/>
  </w:num>
  <w:num w:numId="47">
    <w:abstractNumId w:val="43"/>
  </w:num>
  <w:num w:numId="48">
    <w:abstractNumId w:val="52"/>
  </w:num>
  <w:num w:numId="49">
    <w:abstractNumId w:val="37"/>
  </w:num>
  <w:num w:numId="50">
    <w:abstractNumId w:val="42"/>
  </w:num>
  <w:num w:numId="51">
    <w:abstractNumId w:val="8"/>
  </w:num>
  <w:num w:numId="52">
    <w:abstractNumId w:val="23"/>
  </w:num>
  <w:num w:numId="53">
    <w:abstractNumId w:val="3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D0619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701A2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86A2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B1E90"/>
    <w:rsid w:val="004B6430"/>
    <w:rsid w:val="004F3C8B"/>
    <w:rsid w:val="0050092A"/>
    <w:rsid w:val="005120D0"/>
    <w:rsid w:val="0051593F"/>
    <w:rsid w:val="00516615"/>
    <w:rsid w:val="0053026C"/>
    <w:rsid w:val="00530358"/>
    <w:rsid w:val="00533A8B"/>
    <w:rsid w:val="00551019"/>
    <w:rsid w:val="005568C2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C796A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31F0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30B55"/>
    <w:rsid w:val="00B55B2D"/>
    <w:rsid w:val="00B55E16"/>
    <w:rsid w:val="00B62B2B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77A1E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15CD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0B4E"/>
    <w:rsid w:val="00F718D5"/>
    <w:rsid w:val="00F77EBC"/>
    <w:rsid w:val="00FC0B69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A8E2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99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uiPriority w:val="99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FontStyle13">
    <w:name w:val="Font Style13"/>
    <w:uiPriority w:val="99"/>
    <w:rsid w:val="00D415CD"/>
    <w:rPr>
      <w:rFonts w:ascii="Times New Roman" w:hAnsi="Times New Roman" w:cs="Times New Roman"/>
      <w:sz w:val="26"/>
      <w:szCs w:val="26"/>
    </w:rPr>
  </w:style>
  <w:style w:type="character" w:customStyle="1" w:styleId="affe">
    <w:name w:val="Гипертекстовая ссылка"/>
    <w:basedOn w:val="aff5"/>
    <w:uiPriority w:val="99"/>
    <w:rsid w:val="00D415CD"/>
    <w:rPr>
      <w:rFonts w:cs="Times New Roman"/>
      <w:b w:val="0"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unicipal.garant.ru/document/redirect/72278816/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/redirect/12112604/1743" TargetMode="External"/><Relationship Id="rId17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nze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/redirect/187556/0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unicipal.garant.ru/document/redirect/7227881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B5D95-5197-4846-9A86-AE31DDCF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8</Pages>
  <Words>5828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2025-10-31T04:47:00Z</cp:lastPrinted>
  <dcterms:created xsi:type="dcterms:W3CDTF">2025-01-17T10:14:00Z</dcterms:created>
  <dcterms:modified xsi:type="dcterms:W3CDTF">2025-10-31T05:00:00Z</dcterms:modified>
</cp:coreProperties>
</file>